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321</w:t>
      </w:r>
    </w:p>
    <w:p>
      <w:r>
        <w:t>Bundesgericht (BGE), 1998-07-20, DE</w:t>
      </w:r>
    </w:p>
    <w:p>
      <w:r>
        <w:rPr>
          <w:b/>
        </w:rPr>
        <w:t xml:space="preserve">Quelle: </w:t>
      </w:r>
      <w:r>
        <w:t>https://mcp.opencaselaw.ch/entscheid/bge_124 III 321</w:t>
      </w:r>
    </w:p>
    <w:p>
      <w:r>
        <w:t>FR: ATF 124 III 321</w:t>
      </w:r>
    </w:p>
    <w:p>
      <w:r>
        <w:t>IT: DTF 124 III 321</w:t>
      </w:r>
    </w:p>
    <w:p>
      <w:pPr>
        <w:pStyle w:val="Heading2"/>
      </w:pPr>
      <w:r>
        <w:t>Regeste</w:t>
      </w:r>
    </w:p>
    <w:p>
      <w:r>
        <w:t>Regeste Art. 12 Abs. 1 URG. Erschöpfungsgrundsatz im Urheberrecht. Parallelimporte urheberrechtlich geschützter Produkte. Nach dem neuen Urheberrechtsgesetz gilt weiterhin die internationale Erschöpfung. Parallelimporte urheberrechtlich geschützter Produkte, die mit Zustimmung des Urhebers im Ausland in Verkehr gesetzt worden sind, lassen sich mit den Mitteln des Urheberrechts nicht unterbinden (E. 1 und 2), und zwar auch dann nicht, wenn sich das der ausländischen Vertriebsfirma vertraglich eingeräumte Verbreitungsrecht nicht auf die Schweiz erstreckt (E. 3). Auch unter dem Blickwinkel des Wettbewerbsrechts sind Parallelimporte zulässig, es sei denn, dem Parallelimporteur werde eine Verleitung zum Vertragsbruch oder ein sonst wie gegen Treu und Glauben verstossendes Verhalten nachgewiesen (E. 4).</w:t>
      </w:r>
    </w:p>
    <w:p>
      <w:pPr>
        <w:pStyle w:val="Heading2"/>
      </w:pPr>
      <w:r>
        <w:t>Erwägungen</w:t>
      </w:r>
    </w:p>
    <w:p>
      <w:r>
        <w:rPr>
          <w:b/>
        </w:rPr>
        <w:t>E. 1</w:t>
      </w:r>
    </w:p>
    <w:p>
      <w:r>
        <w:t>Nach Art. 12 Abs. 1 des Urheberrechtsgesetzes (URG; SR 231.1) dürfen Werkexemplare, die der Urheber veräussert oder deren Veräusserung er zugestimmt hat, weiterveräussert oder sonst wie verbreitet werden. Mit der willentlichen Veräusserung der Werkexemplare begibt der Rechtsinhaber sich seines Anspruchs, deren Weiterverbreitung mit urheberrechtlichen Mitteln zu kontrollieren (vgl. BARRELET/EGLOFF, Das neue Urheberrecht, N. 1 zu Art. 12). Wird dieser sogenannte Erschöpfungsgrundsatz national verstanden, gilt das Verbreitungsrecht nur für Werkexemplare als erschöpft, die mit Zustimmung des Rechtsinhabers auf den inländischen Markt gelangt sind; wird er dagegen international verstanden, bewirkt auch die Erstveräusserung im Ausland die Erschöpfung des Verbreitungsrechts, mit der Folge, dass der Rechtsinhaber den Import von im Ausland veräusserten Werkexemplaren in die Schweiz urheberrechtlich nicht verhindern kann. BGE 124 III 321 S. 324 Das Handelsgericht legt Art. 12 Abs. 1 URG im Sinne der nationalen Erschöpfung aus. Es gelangt daher zum Schluss, dass die Parallelimporte der Beklagten aus den USA das Urheberrecht der Erstklägerin verletzen. Die Beklagte rügt diese Auffassung als bundesrechtswidrig.</w:t>
      </w:r>
    </w:p>
    <w:p>
      <w:r>
        <w:rPr>
          <w:b/>
        </w:rPr>
        <w:t>E. 2</w:t>
      </w:r>
    </w:p>
    <w:p>
      <w:r>
        <w:t>Eine Gesetzesbestimmung ist in erster Linie nach ihrem Wortlaut auszulegen (grammatikalisches Auslegungselement, E. a hienach). Von Bedeutung ist jedoch auch, welche Überlegungen der Gesetzgeber bei ihrem Erlass angestellt hat (historisches Auslegungselement, E. b hienach). Dabei ist die Entstehungsgeschichte für sich allein zwar nicht entscheidend, wohl aber insoweit beachtlich, als sie Aufschluss über die Regelungsabsicht des Gesetzgebers gibt. In die Betrachtung einzubeziehen ist sodann der Zusammenhang der auszulegenden Bestimmung mit anderen Normen (systematisches Auslegungselement, E. c - h hienach). Schliesslich ist nach dem Ziel, das die Bestimmung verfolgt, nach dem Zweck, dem sie dient, zu fragen (teleologisches Auslegungselement, E. i hienach). Der Normzweck lässt sich dabei allerdings nicht aus sich selbst heraus begründen, sondern ergibt sich letztlich wiederum aus grammatikalischen, historischen und systematischen Gesichtspunkten ( BGE 122 III 324 E. 7a S. 325, 469 E. 5a S. 474; BGE 116 II 525 E. 2a und b S. 526 f., je mit Hinweisen). a) Dem Wortlaut von Art. 12 Abs. 1 URG lässt sich nicht entnehmen, wo die Erstveräusserung stattgefunden haben muss, um die Erschöpfung des Verbreitungsrechts des Rechtsinhabers nach sich zu ziehen. Das Urheberrechtsgesetz von 1922 äusserte sich allerdings ebenfalls nicht ausdrücklich zu dieser Frage. Aus Art. 58 Abs. 1 und 2 aURG liess sich jedoch ableiten, dass grundsätzlich internationale Erschöpfung galt, wobei Art. 58 Abs. 3 aURG allerdings eine Ausnahme für mechanische Ton- und Bildträger vorsah (ALOIS TROLLER, Immaterialgüterrecht, Bd. II, 3. Aufl. 1985, S. 767 f. und 905 f.; DOMINIQUE GRAZ, Propriété intellectuelle et libre circulation des marchandises, Diss. Lausanne 1988, S. 94 f.; KASPAR SPOENDLIN, Der internationale Schutz des Urhebers, UFITA 107/1988, S. 31 f.; vgl. auch BGE 85 II 431 E. 3c S. 442). Seit Inkrafttreten des neuen Gesetzes ist die Rechtslage hingegen unklar. Die Auffassungen sind geteilt: Ein Teil der Lehre nimmt nationale (VON BÜREN, in: Schweizerisches Immaterialgüter- und Wettbewerbsrecht, Bd. I/1, S. 179; derselbe, daselbst, Bd. II/1, S. 221; BARRELET/EGLOFF, a.a.O., N. 2 zu Art. 12 URG ; PERRET, Quelques observations sur l'épuisement des droits de propriété BGE 124 III 321 S. 325 intellectuelle, SZIER 1997, S. 283 ff.; zumindest im Ergebnis ähnlich auch REHBINDER, Schweizerisches Urheberrecht, 2. Aufl. 1996, S. 98 f., vgl. dazu E. 3 hienach), ein anderer internationale Erschöpfung an (THOMAS COTTIER/MARC STUCKI, Parallelimporte im Patent-, Urheber- und Muster- und Modellrecht aus europarechtlicher und völkerrechtlicher Sicht, in: Conflit entre importations parallèles et propriété intellectuelle?, Comparativa 60, 1996, S. 44; MARIANNE BIERI-GUT, Parallelimport und Immaterialgüterrechte nach schweizerischen Spezialgesetzen und dem Recht der EU, AJP 1996, S. 569 f.; MARTINA ALTENPOHL, Zur Zulässigkeit des Parallelimportes von urheberrechtlich geschützten Produkten, sic! 1998, S. 145; IVAN CHERPILLOD, Protection des logiciels et des bases de données: la révision du droit d'auteur en Suisse, SMI 1993, S. 59 f.; differenzierend CHRISTOPH WILLI, Schutz selektiver Vertriebssysteme durch das Urheberrecht, SJZ 91/1995, S. 205 ff., insbes. 207 ff.); weitere Autoren beschränken sich darauf, die Frage aufzuwerfen und eine abwartende Haltung einzunehmen (KAMEN TROLLER, Manuel du droit suisse des biens immatériels, Bd. II, 2. Aufl. 1996, S. 661 f.; PEDRAZZINI/VON BÜREN/MARBACH, Immaterialgüter- und Wettbewerbsrecht, S. 155 f.; RETO M. HILTY, Die Leistungsschutzrechte im schweizerischen Urheberrechtsgesetz, UFITA 124/1994, S. 108 ff.; PETER MOSIMANN, in: Schweizerisches Immaterialgüter- und Wettbewerbsrecht, Bd. II/1, S. 352 f.; IVAN CHERPILLO, Logiciels et importations parallèles, in: Conflit entre importations parallèles et propriété intellectuelle?, Comparativa 60, 1996, S. 65 ff.). b) Die Gründe für den Meinungsstreit sind hauptsächlich in der Entstehungsgeschichte des geltenden Art. 12 Abs. 1 URG zu suchen. Die Vorentwürfe und Entwürfe zum neuen Urheberrechtsgesetz sahen durchwegs ein Recht der Weiterveräusserung für alle Werkexemplare vor, die vom Urheber oder mit seiner Zustimmung im In- oder Ausland veräussert worden waren. Die bundesrätliche Botschaft hielt ausdrücklich fest, dass damit das Prinzip der internationalen Erschöpfung zur Anwendung gelange (BBl 1989 III 531; ebenso die Botschaft zum ersten Entwurf, BBl 1984 III 210). In der parlamentarischen Beratung wurde dann jedoch im Hinblick auf den angestrebten Beitritt der Schweiz zum Europäischen Wirtschaftsraum (EWR) beschlossen, auf die Wendung «im In- und Ausland» zu verzichten, da das EWR-Abkommen nicht eine allgemeine internationale, sondern bloss eine EWR-weite Erschöpfung vorsah. Zur Übernahme dieses Grundsatzes kam es allerdings in der Folge nicht, BGE 124 III 321 S. 326 wurde doch das EWR-Abkommen in der Volksabstimmung vom 6. Dezember 1992 verworfen. Damit hat der Verzicht auf die Wendung «im In- und Ausland» seinen ursprünglichen Sinn verloren, und es erhebt sich die Frage, ob ihm nunmehr die Bedeutung eines Übergangs von der internationalen zur nationalen Erschöpfung beizulegen ist, wie dies das Handelsgericht und die Klägerinnen annehmen. Im angefochtenen Urteil wird in diesem Zusammenhang zunächst darauf hingewiesen, dass es nach dem erklärten Willen des Gesetzgebers darum ging, das schweizerische Urheberrecht eurokompatibel auszugestalten und insbesondere die Übernahme der regionalen, d.h. EWR-weiten Erschöpfung zu ermöglichen. Im Anschluss daran wird ausgeführt, der regionalen Erschöpfung entspreche innerstaatlich die nationale Erschöpfung. Denn die regionale Erschöpfung garantiere nur den freien Warenverkehr zwischen den Mitgliedstaaten des Europäischen Wirtschaftsraumes, nicht aber zwischen diesen und Drittländern. Sie stehe daher einer Abschottung des europäischen Binnenmarktes gegenüber Parallelimporten von immaterialgüterrechtlich geschützten Erzeugnissen aus Drittländern nicht nur nicht entgegen, sondern bezwecke diese geradezu. Diese Argumentation vermag nicht zu überzeugen. Richtig ist zwar, dass die regionale Erschöpfung Drittländer ausgrenzt und insofern - wie die nationale Erschöpfung - zu einer Marktabschottung führt. Im Verhältnis zwischen den Mitgliedstaaten des Europäischen Wirtschaftsraumes entspricht die regionale jedoch der internationalen Erschöpfung. Der Sinn des europäischen Binnenmarktes liegt gerade darin, eine gegenseitige Abschottung der Märkte der Mitgliedstaaten zu verhindern. Der Beitritt zum Europäischen Wirtschaftsraum sollte der Schweiz Anschluss an diesen Binnenmarkt verschaffen. Das Ziel bestand mit anderen Worten in erster Linie in einer Marktöffnung gegenüber anderen europäischen Staaten und nicht in der Ausgrenzung von Drittstaaten. Die nationale Erschöpfung ist demgegenüber geeignet, den schweizerischen Markt für urheberrechtlich geschützte Produkte gerade auch gegenüber den europäischen Handelspartnern abzuschotten. Das aber stünde im Gegensatz zu dem, was der Gesetzgeber wollte. Die Klägerinnen wenden allerdings ein, der Gesetzgeber habe zumindest gegenüber Ländern ausserhalb des europäischen Binnenmarktes die nationale Erschöpfung gewollt. Dass er für den Fall einer Ablehnung des EWR-Abkommens nicht mehr an der diesbezüglichen Harmonisierung mit dem europäischen Recht habe festhalten BGE 124 III 321 S. 327 wollen, lasse sich den Materialien in keiner Weise entnehmen. Parallelimporte seien sehr viel weniger aus den Ländern der Europäischen Union (EU) zu erwarten als aus billigeren Drittländern, gegenüber welchen die EU-Staaten ihren Markt abschotten würden. Es sei deshalb nicht davon auszugehen, dass mit dem Verzicht auf den EWR-Beitritt die Einführung der nationalen Erschöpfung gegenstandslos geworden sei. Als Kern des gesetzgeberischen Willens möchten die Klägerinnen mithin die Abkehr vom internationalen Verständnis der Erschöpfung hinstellen. Sie versuchen diese Auffassung mit Zitaten verschiedener Einzelvoten aus den parlamentarischen Beratungen zu untermauern. Aus den Materialien und namentlich auch aus den von den Klägerinnen zitierten Voten ergibt sich jedoch, dass sich das Parlament mit den Auswirkungen einer allfälligen Verwerfung des EWR-Abkommens gar nicht vertieft auseinander gesetzt hat (vgl. AB 1992 N 2 ff., insbes. 15; AB 1992 S 372 ff., insbes. 373). Namentlich ist es in den parlamentarischen Beratungen weder in den vorberatenden Kommissionen noch im Plenum zu einer Grundsatzdebatte darüber gekommen, ob diesfalls die internationale oder die nationale Erschöpfung den Vorzug verdiene. Angesichts der langen Tradition, welche die internationale Erschöpfung im schweizerischen Urheberrecht hat, darf aber dem Gesetzgeber nicht leichthin der Wille unterschoben werden, diesen Grundsatz in sein Gegenteil zu verkehren. Das gilt umso mehr, als sich die tiefe Verankerung der internationalen Erschöpfung im schweizerischen Rechtsbewusstsein auch darin zeigt, dass sie in sämtlichen Vorentwürfen und Entwürfen ausdrücklich vorgesehen worden war. Insgesamt ergibt deshalb die Entstehungsgeschichte des Art. 12 Abs. 1 URG keine hinreichenden Anhaltspunkte dafür, dass der Gesetzgeber sich vom eingewurzelten weiten Verständnis der Erschöpfung radikal hätte abwenden und zu einer äusserst eng, nämlich rein national verstandenen Erschöpfung hätte übergehen wollen. c) In systematischer Hinsicht ist zunächst darauf hinzuweisen, dass im Markenrecht nach der Rechtsprechung ebenfalls die internationale Erschöpfung gilt ( BGE 122 III 469 E. 3-5 S. 471 ff.). Diese Praxis wurde zwar unter anderem damit begründet, dass die Kennzeichnungsfunktion der Marke durch Parallelimporte nicht beeinträchtigt wird (a.a.O., E. 5f S. 479). Daran anknüpfend führt das Handelsgericht im angefochtenen Urteil aus, die unterschiedliche Funktion des Marken- und des Urheberrechts lasse einen Analogieschluss von der markenrechtlichen Rechtsprechung auf die vorliegend BGE 124 III 321 S. 328 zu beurteilende Erschöpfungsfrage nicht zu (vgl. dazu auch CHERPILLOD, a.a.O., Comparativa 60, S. 67, sowie GRAZ, a.a.O., S. 99). Der funktionelle Unterschied zwischen Marken- und Urheberrecht darf aber nicht überbetont werden. Wohl ist richtig, dass die Marke zunächst dazu dient, Waren oder Dienstleistungen zu kennzeichnen, während es beim Urheberrecht direkt um den Schutz einer geistigen Leistung sowie insbesondere darum geht, dem Urheber das alleinige Recht zur Verwertung dieser Leistung vorzubehalten. Das darf indessen nicht darüber hinwegtäuschen, dass auch der Markenschutz dem Rechtsinhaber das ausschliessliche Recht verschafft, die geschützte Marke zu verwenden. Von seiner wirtschaftlichen Funktion her erlaubt daher der Markenschutz dem Rechtsinhaber ebenfalls, den Wert, den seine Marke verkörpert, unter Ausschluss anderer zu realisieren. Dabei zielt das Markenrecht wiederum zumindest auch darauf ab, die geistigen Leistungen zu schützen, die hinter der Schaffung, der Einführung und der Vermarktung einer Marke stehen und auf die deren Kennzeichnungskraft zurückgeht. In der Literatur wird deshalb zu Recht darauf hingewiesen, dass es sich kaum rechtfertigt, Marken- und Urheberrecht in Bezug auf die Erschöpfung unterschiedlich zu behandeln (COTTIER/STUCKI, a.a.O., S. 50). d) Ein mit dem Urheberrecht funktionsverwandtes Verwertungsrecht sieht das Handelsgericht im Patentrecht. Dazu führt es aus, bei der jüngsten Revision des Patentgesetzes sei die in Art. 8a des Entwurfs von 1989 vorgesehene internationale Erschöpfung in der Vorlage von 1993 wieder fallen gelassen worden. Art. 8a des Entwurfs von 1989 enthält aber lediglich eine Sonderregelung der Erschöpfung für biologisch vermehrbare Materie und äussert sich weder für diesen besonderen Bereich noch allgemein zur Frage, ob nationale oder internationale Erschöpfung Anwendung finden soll (BBl 1989 III 266); dasselbe gilt für die einschlägigen Ausführungen in der zugehörigen bundesrätlichen Botschaft (BBl 1989 III 255 f.). Folglich lässt der Umstand, dass der vorgeschlagene neue Art. 8a in die Vorlage vom 18. August 1993 nicht mehr aufgenommen wurde (vgl. BBl 1993 III 716) und deshalb auch keinen Eingang in die auf den 1. September 1995 in Kraft getretene Änderung des Patentgesetzes gefunden hat, entgegen der Ansicht der Vorinstanz nicht den Schluss zu, dass der Gesetzgeber im Patentrecht ausdrücklich auf die internationale Erschöpfung verzichtet hätte. Vielmehr ist davon auszugehen, dass das Gesetz die Frage nicht regelt. Der Botschaft zum Entwurf von 1989 lässt sich übrigens entnehmen, dass der BGE 124 III 321 S. 329 Gedanke der Einführung einer regionalen, auf die Mitgliedstaaten der EG und der EFTA ausgedehnten Erschöpfung damals bereits im Vorverfahren wieder fallen gelassen worden war (vgl. BBl 1989 III 246). Richtig ist hingegen, dass in der Lehre für das Patentrecht bisher überwiegend die Auffassung vertreten wird, es gelte nationale Erschöpfung (ALOIS TROLLER, a.a.O., S. 767; PEDRAZZINI, Patent- und Lizenzvertragsrecht, 2. Aufl. 1987, S. 123; KAMEN TROLLER, a.a.O., S. 661; GRAZ, a.a.O., S. 107 ff.; ebenso die herrschende Lehre in anderen europäischen Staaten: BEIER, Zur Zulässigkeit von Parallelimporten patentierter Erzeugnisse, GRUR int. 1996, S. 1 ff., insbes. S. 3 ff., mit umfassenden rechtsvergleichenden Hinweisen; a.M. jedoch BIERI-GUT, Parallelimport und Immaterialgüterrechte nach schweizerischen Spezialgesetzen und dem Recht der EU, AJP 1996, S. 574 ; kritisch ebenfalls COTTIER/STUCKI, a.a.O., S. 50 f.; vgl. dazu allerdings auch DUTOIT, Les importations parallèles au crible de quel droit?, in: Conflit entre importations parallèles et propriété intellectuelle?, Comparativa 60, 1996, S. 98 f.). Eine feststehende Gerichtspraxis, welche diese Auffassung bestätigen würde, fehlt indessen. Das letzte Wort ist noch nicht gesprochen (vgl. PEDRAZZINI/VON BÜREN/MARBACH, a.a.O., S. 155 f. Rz. 641). Im Übrigen bedürfte auch näherer Prüfung, ob die funktionellen Ähnlichkeiten zwischen Urheber- und Patentrecht in der Tat zwingend eine übereinstimmende Regelung der Erschöpfung erheischen. Das Patentrecht unterscheidet sich vom Urheberrecht immerhin dadurch, dass die Erlangung des Patentschutzes für jedes Land erhebliche Kosten verursacht und dass auch die Aufrechterhaltung des Schutzes nicht kostenfrei möglich ist, sondern die periodische Entrichtung von Patentgebühren in den verschiedenen Schutzländern voraussetzt. Man kann sich daher die Frage stellen, ob und wieweit dem Patentinhaber ermöglicht werden soll, seine Investitionen in den Patentschutz in jedem Land gesondert zu rentabilisieren, ohne dabei durch Parallelimporte beeinträchtigt zu werden. Eine besondere Behandlung des Patents in Bezug auf die Erschöpfung wird zum Teil auch in der Lehre befürwortet (DUTOIT, a.a.O., S. 98 f.; ebenso für das deutsche Recht DIETRICH REIMER, Der Erschöpfungsgrundsatz im Urheberrecht und gewerblichen Rechtsschutz unter Berücksichtigung der Rechtsprechung des Europäischen Gerichtshofs, GRUR 1976 Int., S. 228 f.). Für eine einheitliche Geltung der internationalen Erschöpfung sowohl im Urheber- als auch im Patentrecht lassen sich allerdings ebenfalls beachtliche Argumente BGE 124 III 321 S. 330 anführen (COTTIER/STUCKI, a.a.O.; vgl. auch E. g und i hienach). Im vorliegenden Zusammenhang braucht die Frage indessen nicht abschliessend beurteilt zu werden. Festzuhalten ist jedenfalls, dass sich aus dem Vergleich mit dem Patentrecht nichts zugunsten einer Auslegung von Art. 12 Abs. 1 URG im Sinne der nationalen Erschöpfung ableiten lässt. e) Die Beklagte wirft der Vorinstanz vor, bei ihrer systematischen Auslegung das Kartellrecht nicht berücksichtigt zu haben. Die Klägerinnen weisen jedoch zu Recht darauf hin, dass das Kartellgesetz (KG, SR 251) in Art. 3 Abs. 2 Wettbewerbswirkungen, die sich ausschliesslich aus der Gesetzgebung über das geistige Eigentum ergeben, ausdrücklich von seinem Geltungsbereich ausnimmt. Aus den Materialien geht hervor, dass der Gesetzgeber bewusst darauf verzichtet hat, hinsichtlich der Erschöpfung von Immaterialgüterrechten «in die Belange der gesetzlichen Regelung des geistigen Eigentums einzugreifen und einer allfälligen höchstrichterlichen Auslegung vorzugreifen» (BBl 1995 I 542). Aus dem Kartellrecht lassen sich deshalb - entgegen ALTENPOHL (a.a.O., S. 155) - weder für die eine noch für die andere Auslegungsvariante entscheidende Argumente gewinnen. f) Entsprechendes gilt für das GATT-Recht, auf das sich die Beklagte ebenfalls beruft. Beim Abschluss des TRIPs-Abkommens, das als Anhang 1C Bestandteil des WTO-Übereinkommens ist (SR 0.632.20, S. 342 ff.), wurde die Frage der Erschöpfung von Immaterialgüterrechten angesichts der unüberbrückbaren Gegensätzlichkeit der Verhandlungspositionen bewusst ausgeklammert (Art. 6 des TRIPs-Abkommens; dazu BBl 1994 IV 291 f.). Auf eine allgemeine Einführung der internationalen Erschöpfung wurde verzichtet; den einzelnen Vertragsstaaten bleibt deren Praktizierung aber unbenommen (Alesch Staehelin, Das TRIPs-Abkommen, S. 28 ff.; Rehbinder/Staehelin, Das Urheberrecht im TRIPs-Abkommen, UFITA 127/1995, S. 16 f.; Paul Katzenberger, TRIPS und das Urheberrecht, GRUR Int. 1995, S. 463; Stanislaw Soltysinski, International Exhaution of Intellectual Property Rights under the TRIPs, the EC Law and the Europe Agreements, GRUR Int. 1996, S. 318 ff.). Ob und wieweit vor diesem Hintergrund Raum dafür bleibt, die grundsätzliche Geltung der internationalen Erschöpfung aus anderen Teilen des WTO-Übereinkommens, insbesondere aus Art. XI des Allgemeinen Zoll- und Handelsabkommens (GATT, SR 0.632.21 in Verbindung mit SR 0.632.20, Anhang 1A.1, Ziff. 1 lit. a, S. 14), abzuleiten (so COTTIER/STUCKI, a.a.O., S. 51 BGE 124 III 321 S. 331 ff., insbes. 56 und 58; vgl. auch COTTIER, a.a.O., S. 53 ff.), erscheint fraglich, braucht aber vorliegend nicht abschliessend geprüft zu werden. g) Beachtlich ist hingegen wiederum, dass die in Art. 31 BV gewährleistete Handels- und Gewerbefreiheit auch die Aussenwirtschaftsfreiheit mit einschliesst, und zwar insbesondere auch die Freiheit, immaterialgüterrechtlich geschützte Produkte ein- und auszuführen ( BGE 122 III 469 E. 5g/aa S. 480). Eine Beschränkung dieser Freiheit wäre nur verfassungskonform, wenn sie durch eine ausreichende gesetzliche Grundlage gedeckt und durch ein überwiegendes öffentliches Interesse gerechtfertigt wäre (vgl. BGE 123 I 212 E. 3a S. 217, mit Hinweisen). Der Vorschrift von Art. 12 Abs. 1 URG lässt sich jedoch kein klarer Wille des Gesetzgebers entnehmen, Parallelimporte urheberrechtlich geschützter Produkte zu verbieten (vgl. E. a und b hievor). Ein überwiegendes öffentliches Interesse an einem solchen Verbot lässt sich ebenfalls kaum namhaft machen; die Öffentlichkeit ist im Gegenteil vor allem an einem möglichst ungehinderten Zugang zu ausländischem Kulturgut interessiert (vgl. ZÄCH, Recht auf Parallelimporte und Immaterialgüterrecht, SJZ 91/ 1995, S. 303 ff. und 307 f.). Die Klägerinnen befürchten allerdings, dass eine Zulassung von Parallelimporten die Kulturgüterindustrie zur Abwanderung aus der Schweiz veranlassen und die Fachhändler - wegen des Drucks auf ihre Marge - zu vermehrter Konzentration auf umsatzträchtige Produkte und zu einer Ausdünnung des Sortiments zwingen könnte. Solche Befürchtungen sind jedoch unbegründet, galt doch in der Schweiz schon unter der Herrschaft des früheren Rechts seit jeher die internationale Erschöpfung, ohne dass Klagen über negative Auswirkungen auf Kulturgüterindustrie und Fachhandel laut geworden wären. Gründe, die geeignet wären, die mit einem Übergang zur nationalen Erschöpfung verbundene Beschränkung der Handels- und Gewerbefreiheit zu rechtfertigen, sind daher nicht ersichtlich. Der Gesichtspunkt der verfassungskonformen Auslegung (vgl. BGE 122 III 469 E. 5a S. 474; BGE 119 Ia 241 E. 7a S. 248, mit Hinweisen) spricht somit ebenfalls dafür, Art. 12 Abs. 1 URG im Sinne der im bisherigen Recht geltenden internationalen Erschöpfung zu verstehen. h) Die Klägerinnen führen im Rahmen der systematischen Auslegung auch den «ausgesprochen urheberfreundlichen Geist» ins Feld, von dem die Revision des Urheberrechtsgesetzes in den Jahren 1991 und 1992 getragen gewesen sein soll. Daraus möchten sie ableiten, dass eine systematische Auslegung des Urheberrechtsgesetzes BGE 124 III 321 S. 332 im Zweifelsfall zur urheberfreundlicheren von zwei möglichen Auslegungen gelangen müsse. Sie verschweigen jedoch, dass die Urheberfreundlichkeit sich nicht etwa erst in der parlamentarischen Schlussphase der Gesetzesrevision zeigte, sondern in noch stärkerem Masse bereits die früheren Vorentwürfe und Entwürfe prägte; den ersten vom Bundesrat vorgelegten Gesetzesentwurf wies das Parlament zurück, weil er die Interessen der Urheber gegenüber jenen der Produzenten und Werknutzer zu stark betonte (BBl 1989 III 482, 485 und 503). Trotz ihrer ausgeprägten Urheberfreundlichkeit sahen aber die Vorentwürfe und Entwürfe durchwegs die internationale Erschöpfung vor (vgl. E. b hievor). Es ist daher nicht einzusehen, weshalb dieser Grundsatz nunmehr mit Hilfe einer «urheberfreundlichen Auslegung» beseitigt und durch jenen der nationalen Erschöpfung ersetzt werden soll. i) Ziel der in Art. 12 Abs. 1 URG statuierten Regel, wonach sich das ausschliessliche Verbreitungsrecht mit der ersten rechtmässigen Inverkehrsetzung erschöpft, ist der Ausgleich zwischen den Interessen des Inhabers des Urheberrechts und jenen der sachenrechtlichen Eigentümer von Werkexemplaren. Die erste Vermarktung gibt dem Rechtsinhaber Gelegenheit, die ihm zustehenden Gewinnmöglichkeiten zu realisieren. Könnte er darüber hinaus den weiteren Vertrieb beliebig untersagen oder von Bedingungen abhängig machen, würde dies den Wirtschaftsverkehr übermässig behindern. Nach der ersten Inverkehrsetzung hat daher sein Interesse zurück- und dasjenige des Handels und der Konsumenten an der Verkehrsfähigkeit der Werkexemplare in den Vordergrund zu treten (REHBINDER, Schweizerisches Urheberrecht, 2. Aufl. 1996, S. 97; WILLI, Schutz selektiver Vertriebssysteme durch das Urheberrecht, SJZ 91/1995, S. 206; BIERI-GUT, a.a.O., S. 569; OMSELS, Erschöpfung ohne Veräusserung, GRUR 1994, S. 165). Für Werkexemplare, die erstmals im Ausland in Verkehr gesetzt worden sind, ist davon auszugehen, dass der Rechtsinhaber bereits dort Gelegenheit zur Wahrnehmung der wirtschaftlichen Vorteile gehabt hat (so auch ein jüngstes amerikanisches Urteil, vgl. dazu JOLLER, U.S. Supreme Court für internationale Erschöpfung des Urheberrechts, European Law Reporter 1998, S. 142 ff.). Allerdings ist nicht zu übersehen, dass die Gewinnmöglichkeiten in den verschiedenen Ländern wegen der unterschiedlichen Ausgestaltung des Urheberrechtsschutzes variieren können (vgl. GRAZ, a.a.O., S. 99 ff.). Es liegt jedoch am Rechtsinhaber zu prüfen, wo ausreichende Gewinnmöglichkeiten bestehen, und gestützt darauf zu entscheiden, BGE 124 III 321 S. 333 wo er das Werk vermarkten will. Dabei ist ihm durchaus zuzumuten, bei seiner Marktanalyse und bei der Festlegung seiner Vermarktungsstrategie auch mit allfälligen Parallelimporten zu rechnen. Das Gewinninteresse des Rechtsinhabers vermag deshalb das allgemeine Interesse am freien Handel und an der Ermöglichung des Wettbewerbs nicht aufzuwiegen, zumal einem möglichst freien Zugang der Konsumenten zu ausländischem Kulturgut in der Schweiz seit jeher grosses Gewicht beigemessen wird; als kleines Land ist die Schweiz auf den kulturellen Austausch besonders angewiesen (SPOENDLIN, Der internationale Schutz des Urhebers, UFITA 107/1988, S. 32). Aus dem Blickwinkel einer teleologischen Gesetzesauslegung lässt es sich daher ebenfalls nicht rechtfertigen, mit einem Übergang zur nationalen Erschöpfung eine Abschottung des schweizerischen Marktes für urheberrechtlich geschützte Produkte herbeizuführen. Dagegen ist auch mit dem in der Berufungsantwort mehrfach vorgebrachten Argument nicht aufzukommen, die Klägerinnen müssten den chinesischen Markt wegen des absolut erforderlichen Kampfes gegen Piraterieprodukte zu äusserst billigen Preisen beliefern. Denn abgesehen davon, dass vorliegend Parallelimporte von für den amerikanischen Markt bestimmten Videospielen in Frage stehen, liegt die Bekämpfung des Piraterieprodukte-Geschäfts in China jedenfalls ausserhalb des Normzwecks von Art. 12 Abs. 1 URG . j) Zusammenfassend ergibt sich, dass nach dem neuen Urheberrecht weiterhin die internationale Erschöpfung gilt. Das Verwertungsrecht des Urhebers ist somit auch für Werkexemplare erschöpft, die mit seiner Zustimmung erstmals im Ausland veräussert worden sind. Die Einfuhr solcher Produkte in die Schweiz kann mit urheberrechtlichen Mitteln nicht unterbunden werden.</w:t>
      </w:r>
    </w:p>
    <w:p>
      <w:r>
        <w:rPr>
          <w:b/>
        </w:rPr>
        <w:t>E. 3</w:t>
      </w:r>
    </w:p>
    <w:p>
      <w:r>
        <w:t>Im Sinne einer Eventualerwägung führt das Handelsgericht aus, der Erstklägerin stünden selbst dann urheberrechtliche Abwehransprüche gegen die Beklagte zu, wenn davon auszugehen sei, dass im schweizerischen Urheberrecht die internationale Erschöpfung gelte. Es verweist dazu namentlich auf die Lehrmeinung von REHBINDER, wonach der Rechtsinhaber das Verbreitungsrecht einem Verleger mit räumlichen, zeitlichen oder inhaltlichen Beschränkungen übertragen kann (a.a.O., S. 98 und 128). REHBINDER stellt sich auf den Standpunkt, dass im Ausland in Verkehr gesetzte Werkexemplare in der Schweiz nicht weiterverbreitet werden dürfen, wenn sich das dem ausländischen Verleger eingeräumte Verbreitungsrecht nicht auf die Schweiz erstrecke (a.a.O., S. 99; BGE 124 III 321 S. 334 ebenso - für das deutsche Recht - SCHRICKER/LOEWENHEIM, Urheberrecht, München 1987, N. 24 zu § 17, mit weiteren Hinweisen, und REIMER, a.a.O., S. 226 f., mit ausführlicher Begründung; vgl. auch CHERPILLOD, a.a.O., Comparativa 60, S. 67 f.; BARRELET/EGLOFF, a.a.O., N. 17 zu Art. 10 und N. 18 zu Art. 16). Gestützt darauf gelangt die Vorinstanz zum Schluss, im vorliegenden Fall habe die Erschöpfung nur soweit eintreten können, als das der Nintendo of America Inc. abgetretene Verbreitungsrecht reiche, d.h. nur für die USA, Kanada, Mexiko und Lateinamerika. Dies habe zur Folge, dass die Erstklägerin, weil ihr für die übrigen Gebiete und insbesondere für die Schweiz weiterhin das volle Urheberrecht zustehe, urheberrechtliche Abwehransprüche gegen den Parallelimport von Videospielen geltend machen könne, die durch die Nintendo of America Inc. in den USA in Verkehr gesetzt worden seien. Die Beklagte beanstandet diese Erwägung zu Recht als bundesrechtswidrig. Die Auffassung des Handelsgerichts läuft darauf hinaus, die Erschöpfung gewissermassen durch die Hintertür doch wieder weitgehend auf eine bloss nationale Tragweite einzugrenzen. Würde dieser Betrachtungsweise gefolgt, so würde den Inhabern von Urheberrechten ermöglicht, bei entsprechender vertraglicher Ausgestaltung ihrer Vertriebsorganisation doch wieder über die Erstveräusserung der Werkexemplare hinaus auch den weiteren Vertrieb mit den Mitteln des Urheberrechts zu steuern. Es ist aber nicht einzusehen, weshalb eine Rechtsinhaberin der Erschöpfung ihres Verwertungsrechts dadurch entgehen können soll, dass sie, statt ihre urheberrechtlich geschützten Produkte im Ausland selbst in Verkehr zu setzen, die Inverkehrsetzung über eine Tochtergesellschaft bewerkstelligt und dieser dabei ein auf bestimmte Länder beschränktes Verbreitungsrecht einräumt, wie dies im vorliegenden Fall geschehen ist. Aus dem Blickwinkel des schweizerischen Urheberrechts ist einzig entscheidend, ob die Werkexemplare mit Zustimmung der Rechtsinhaberin veräussert worden sind, sei es im Inland oder im Ausland (E. 2 hievor). Vertragliche Beschränkungen übertragener Verbreitungsrechte können daher nur schuldrechtliche Verpflichtungen gegenüber dem Vertragspartner begründen. Es ist ausgeschlossen, sie - im Sinne von Begrenzungen der Erschöpfung - Dritten entgegenzuhalten.</w:t>
      </w:r>
    </w:p>
    <w:p>
      <w:r>
        <w:rPr>
          <w:b/>
        </w:rPr>
        <w:t>E. 4</w:t>
      </w:r>
    </w:p>
    <w:p>
      <w:r>
        <w:t>Die Klägerinnen weisen zur Stützung des angefochtenen Urteils zusätzlich auf eine von MARIANNE BIERI-GUT geäusserte Lehrmeinung hin. Diese Autorin hält eine Ausnahme der von ihr sonst vertretenen internationalen Erschöpfung dann für gerechtfertigt, BGE 124 III 321 S. 335 wenn sowohl der Schutzrechtsinhaber als auch die Konsumenten ein Interesse an der Verhinderung von Parallelimporten hätten. Dies sei der Fall bei technisch anspruchsvollen Erzeugnissen, bei welchen der Konsument eine besondere Vertriebsqualität erwarte, die nur der autorisierte Händler erbringen könne. Es gehe dabei um Kundendienstleistungen, d.h. um Zusatzleistungen wie fachmännische Beratung, Instruktion, Montage, Service, Garantie, Reparatur- und Ersatzteildienst (a.a.O., AJP 1996, S. 562). Nach Auffassung der Klägerinnen handelt es sich bei den streitigen Videospielen angesichts ihrer Komplexität und angesichts der angesprochenen Konsumentenkreise - Kinder und Jugendliche im Alter von 7-15 Jahren - um technisch anspruchsvolle Erzeugnisse. Die Zweitklägerin biete ihren jungen Konsumenten fachmännische Beratung über ihre Hotline, die permanent von zwei Mitarbeitern täglich bedient werde. Besonderer Beratungsbedarf ergebe sich wegen parallelimportierter Spiele mit englischsprachigen Spielanleitungen, die von den Kindern und Jugendlichen nicht verstanden würden. Parallelimporteure seien nicht in der Lage, eine solche Hotline zu unterhalten. Selbst nach der Ansicht von Bieri-Gut sei daher im vorliegenden Fall die Anwendung der nationalen Erschöpfung gerechtfertigt. Mit dieser Argumentation werfen die Klägerinnen der Beklagten der Sache nach vor, in schmarotzerischer Weise von den Zusatzleistungen zu profitieren, welche die Zweitklägerin den Konsumenten der klägerischen Videospiele erbringt. Für eine Berücksichtigung derartiger Gesichtspunkte bietet aber das Urheberrecht keine Handhabe. Angesprochen ist vielmehr die Frage, ob die beklagtischen Parallelimporte unter dem Blickwinkel des Wettbewerbsrechts zulässig sind. Werden bestimmte Waren unter Umgehung des offiziellen Vertriebssystems parallel importiert, so ist dies nach der Rechtsprechung für sich allein selbst dann nicht wettbewerbswidrig, wenn dabei Vertragsbrüche von Vertragshändlern ausgenützt werden ( BGE 122 III 469 E. 7 S. 482 f.; BGE 114 II 91 E. 4b S. 101 f., mit Hinweisen). Anders verhält es sich nur, wenn dem Parallelimporteur eine Verleitung zum Vertragsbruch ( Art. 4 lit. a UWG ; SR 241) nachgewiesen werden kann, wofür vorliegend jegliche Anhaltspunkte fehlen. Daneben kann sich die Unlauterkeit von Parallelimporten allenfalls auch aus anderen besonderen Umständen ergeben, die das Vorgehen des Parallelimporteurs als Verstoss gegen Treu und Glauben erscheinen lassen ( BGE 114 II 91 E. 4a/dd und 4b S. 100 f.) oder sich negativ auf den Wettbewerb auswirken ( BGE 122 III 469 E. 10 S. 485). Auch davon kann im vorliegenden Fall BGE 124 III 321 S. 336 jedoch keine Rede sein. Insbesondere lässt sich aus dem blossen Umstand, dass die «Hotline» der Zweitklägerin möglicherweise auch von Käufern parallelimportierter Videospiele benutzt wird, nicht etwa schliessen, dass die Beklagte es systematisch auf ein Schmarotzen an dieser Zusatzleistung der Zweitklägerin angelegt hätte (vgl. LUCAS DAVID, Schweizerisches Wettbewerbsrecht, 3. Aufl. 1997, S. 102 Rz. 386); daran vermag auch nichts zu ändern, dass es um technisch verhältnismässig anspruchsvolle Produkte geht. Anhaltspunkte für negative Auswirkungen der klägerischen Parallelimporte auf den Wettbewerb (vgl. BGE 122 III 469 E. 10b S. 486 f.) sind ebenfalls nicht ersichtlich. Ein Wettbewerbsverstoss der Beklagten ist daher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